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BA" w:rsidRPr="005420BA" w:rsidRDefault="00274CF6" w:rsidP="005420BA">
      <w:pPr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0BA">
        <w:rPr>
          <w:rFonts w:ascii="Times New Roman" w:hAnsi="Times New Roman" w:cs="Times New Roman"/>
          <w:b/>
          <w:sz w:val="24"/>
          <w:szCs w:val="24"/>
        </w:rPr>
        <w:t>Лекция</w:t>
      </w:r>
      <w:r w:rsidR="005420BA">
        <w:rPr>
          <w:b/>
        </w:rPr>
        <w:t xml:space="preserve"> </w:t>
      </w:r>
      <w:r w:rsidR="001563E7">
        <w:rPr>
          <w:rFonts w:ascii="Times New Roman" w:hAnsi="Times New Roman" w:cs="Times New Roman"/>
          <w:b/>
          <w:sz w:val="24"/>
          <w:szCs w:val="24"/>
        </w:rPr>
        <w:t xml:space="preserve"> 6</w:t>
      </w:r>
      <w:bookmarkStart w:id="0" w:name="_GoBack"/>
      <w:bookmarkEnd w:id="0"/>
      <w:r w:rsidRPr="005420BA">
        <w:rPr>
          <w:rFonts w:ascii="Times New Roman" w:hAnsi="Times New Roman" w:cs="Times New Roman"/>
          <w:b/>
          <w:sz w:val="24"/>
          <w:szCs w:val="24"/>
        </w:rPr>
        <w:t>.</w:t>
      </w:r>
      <w:r w:rsidR="005420BA">
        <w:rPr>
          <w:b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Классический,</w:t>
      </w:r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неклассический</w:t>
      </w:r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постнеклассический</w:t>
      </w:r>
      <w:proofErr w:type="spellEnd"/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</w:t>
      </w:r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20BA"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науки</w:t>
      </w:r>
    </w:p>
    <w:p w:rsidR="005420BA" w:rsidRDefault="005420BA" w:rsidP="005420BA">
      <w:pPr>
        <w:pStyle w:val="a3"/>
        <w:shd w:val="clear" w:color="auto" w:fill="FFFFFF"/>
        <w:spacing w:before="0" w:beforeAutospacing="0" w:after="0" w:afterAutospacing="0"/>
        <w:ind w:right="-1" w:firstLine="567"/>
        <w:jc w:val="center"/>
        <w:rPr>
          <w:b/>
        </w:rPr>
      </w:pPr>
    </w:p>
    <w:p w:rsidR="005420BA" w:rsidRPr="005420BA" w:rsidRDefault="005420BA" w:rsidP="005420BA">
      <w:pPr>
        <w:spacing w:after="0" w:line="240" w:lineRule="auto"/>
        <w:ind w:left="567" w:right="-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Возникновение науки.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Периодизация науки.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Развитиеклассической</w:t>
      </w:r>
      <w:proofErr w:type="spellEnd"/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науки.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Неклассическая наука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Постнеклассическая</w:t>
      </w:r>
      <w:proofErr w:type="spellEnd"/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наука.</w:t>
      </w:r>
    </w:p>
    <w:p w:rsidR="005420BA" w:rsidRPr="005420BA" w:rsidRDefault="005420BA" w:rsidP="005420BA">
      <w:pPr>
        <w:pStyle w:val="a5"/>
        <w:numPr>
          <w:ilvl w:val="0"/>
          <w:numId w:val="3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/>
          <w:sz w:val="24"/>
          <w:szCs w:val="24"/>
          <w:lang w:eastAsia="ru-RU"/>
        </w:rPr>
        <w:t>История естествознания как смена научных парадигм.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науки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XVI-XVII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капиталистического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сочки"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общественно-исторических,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капиталистическое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буржуа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экспериментально-математическое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"наука"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"естествознание"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отождествлялись,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(социал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медленнее.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Отныне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"опутывание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схоластов),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схоластической)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Периодизация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науки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конкретно-историческое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развивающуюся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("эволюционный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срез").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("структу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срез").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(критериям).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(гуманитарные,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(логика,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гносеология,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эпистемология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подвергнута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"удаленности"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социально-практических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(доклассический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(предпосылки)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XVI-XVII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отпочкования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(современный).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(противоречие)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XVII-XIX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объективно-истинных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релятивистской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отбрасывает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объективно-истинного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(вторая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ценностно-целевыми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структурами.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(совокупность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теоретико-методологических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лапласовского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дополнительности.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постнеклассического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"синергетическое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(целостность)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неклассическим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исчезновению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ции":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последующую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классическую,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стадии: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неуклонное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"синтетической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(начавшееся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"стыковых"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физхимия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биофизика,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геохимия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рафинированном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науки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XVI-XVII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ковьем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ознаменовавшая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триединства,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XVI-XVII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плеяды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Бэкон).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гелиоцентрическая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(1473-1543),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вращающимися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восседающ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светилами.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гелиоцентрической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миропонимание,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Кажущиеся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опровер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(1546-1601),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натолкнуться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господствовало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"теоретически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нагружен".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параболического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телескопа,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экспериментальное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гелиоцентрическую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"Диалог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Птолемеевской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Коперниковой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крытиями,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Юпитера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(сейчас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13),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рономии,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религиозно-философскую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мельчайших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величайших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поприще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Кеплера,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лаконичной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макроскопических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ma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Gm1m2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r2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Кеплера,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Сильнейшее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1846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Нептун,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(Адамс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Леверье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тяготения,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детерминированы;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механическим.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сыграла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натурфилософские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последнюю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метафизический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развивающимся.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(детерминизм)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"детерминизмом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Лапласа",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П-С.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Лапласе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тематику.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Лаплас: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"Ум,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одушевляющие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величайших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взором".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ж.К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Максвелл.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гравитационных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("практика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истины"),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(деду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нов.</w:t>
      </w:r>
    </w:p>
    <w:p w:rsid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Неклассическая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наука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Подрыву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необратимым,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зигзагообразным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непредсказуем.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Максвелла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вероятностно-статистические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Лоренц,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Пуанкаре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лятивизма,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устоявшиеся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доставшихся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ознаменовавшая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Эйнштейном.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физик-теоретик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Эйнштейн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(1879-1955),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(1905)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(1916)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Эй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четырехмерного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Эй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обнаружить.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броуновского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фотоэффекта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1921г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Нобелевская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Лобачевского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(1792-1856).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естествознание?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Прежде всего, следует иметь в виду, что решающие шаги в становлении новых представлений были сделаны в области атомной и субатомной физики, где человек п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пал в совершенно новую познавательную ситуацию. Те понятия (положение в пр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странстве, ск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рость, сила, </w:t>
      </w:r>
      <w:proofErr w:type="gramStart"/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траектория движения и</w:t>
      </w:r>
      <w:proofErr w:type="gramEnd"/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т.п.), которые с успехом работали при объяснении поведения макроскопических природных тел, оказались неадекватн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ы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ми и, следовательно, непригодными для отображения явлений микромира. И причина этого заключалась в том, что исследователь непосредственно имел дело не с микр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объектами самими по себе, как он к этому привык в рамках представлений классич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ской науки, а лишь с "проекциями" микрообъектов на макроскопические "приборы". В связи с этим в теоретический аппарат естествознания были введены понятия, которые не являются наблюдаемыми в экспер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менте величинами, а лишь позволяют определить вероятность того, что соответствующие наблюдаемые величины будут иметь те или иные значения в тех или иных ситуациях. Более того, эти ненаблюдаемые теоретич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ские объекты (например, y - функция Шредингера в квантовой механике или кварки в современной теории адронов) становятся ядром ест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ственнонаучных представлений, именно для них записываются базовые соотношения те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рии.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Второй особенностью неклассического естествознания является преобладание же упомянутого вероятностно-статистического подхода к природным явлениям и об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ъ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ектам, что фактически означает отказ от концепции детерминизма. Переход к стат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стическому описанию движения индивидуальных микрообъектов было, наверное, с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мым драматичным моментом в истории науки, ибо даже основоположники новой ф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зики так и не смо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ли смириться с онтологической природой такого описания ("Бог не играет в кости", - г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ворил А. Эйнштейн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микрообъект,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рообъектов.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взаимоисключающими,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микрочастице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(корпускулярно-волновой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дуализм).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неодновременными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тривиальной.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Дильтеем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Зиммелем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Бергсоном,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неприемлемы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внераци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вчувствование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неокантианства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Виндельбанд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(1848-1915)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(1863-1936)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идиографические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неповторимые,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номотетические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абстрагируясь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явлениях.</w:t>
      </w:r>
      <w:proofErr w:type="gram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Виндельбанда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циолог,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(1864-1920)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"ясных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номотетич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"культурно-значимая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но-исторически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bookmarkStart w:id="1" w:name="p1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культурно-значимое.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понятий.</w:t>
      </w:r>
      <w:bookmarkEnd w:id="1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всеобщее.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верифицирована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конструируется,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"необозримого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"ищет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каузальному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:rsid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Постнеклассическая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наука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70-х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(компьютеризация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клонир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самопроизвольного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начавшемся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неонеклассического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(микромир,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социально-политические,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(ядерная,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деградация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"заказа",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"погружении"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центрирующие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нелинейными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подсистемами.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сложноструктурированным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Хакена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Пригожина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обменивающихся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"траектории"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раздваиваться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бифуркации),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непредсказуемым,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предыстории.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"существующего"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"возникающего",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"бытия"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"становлению".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индуктивно-эмпирического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дедуктивно-теоретическому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зазвучали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В.И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20-х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Вернадский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самоорганизующейся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"существованием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</w:t>
      </w:r>
      <w:bookmarkStart w:id="2" w:name="p148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живущих.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геохимический,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эволюцию.</w:t>
      </w:r>
      <w:bookmarkEnd w:id="2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мироздание,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моразвивающихся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человекоразмерных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сближения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выразилась,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немыслима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bookmarkStart w:id="3" w:name="p149"/>
      <w:bookmarkEnd w:id="3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(принцип)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коэволюции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взаимообусловленного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корреляцию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общенаучную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Янча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социально-культурный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bookmarkStart w:id="4" w:name="p150"/>
      <w:bookmarkEnd w:id="4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антивеществом,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повлекшее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гравитационных,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"тонкая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сверхструктурированная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самоорганизующуюся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манистич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"Планетарные"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"бесстрастного"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"цене"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"высокой",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"истина"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("Не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корысти",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Лихачев).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апофеозом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законосообразная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считалось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постнеклассической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нитарным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антропоморфизмом.</w:t>
      </w:r>
    </w:p>
    <w:p w:rsid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парадигм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60-х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скачкообразной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радигма.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"нормальной"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кумулятивный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(накопительный)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щепринятой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"втиснуть"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сколоченную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"коробку".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"нормальной"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заслуживающим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упомянуть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корпускулярную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сменившую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тромагн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волна).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("аномалии")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"привязать"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неактуал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"аномалиях"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"критическую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дающаяся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m0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релятивистской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m0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®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эйнштейновской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"реструктуризация"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"нормальной"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зующихся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синергетикой.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"нако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бифуркаций)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скачкообразная,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"катастрофическая"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"минимального"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флогистонная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химико-физическим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Кун).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концептуально-методологические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эволюционная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низкоорганизованных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структурах.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непредсказуемый,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газопылевого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возникающий".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ньютоновская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достойное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ственные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удваивается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5-10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(но,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“внешней”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конкуриру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конкурирующих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Золотухина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2-е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"Феникс",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2003.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448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В.С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С79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В.С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2006.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384с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ПРИОР,2001</w:t>
      </w:r>
      <w:proofErr w:type="spell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А.Г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1999.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  <w:proofErr w:type="spellEnd"/>
    </w:p>
    <w:p w:rsidR="005420BA" w:rsidRPr="005420BA" w:rsidRDefault="005420BA" w:rsidP="005420B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П.В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proofErr w:type="spellEnd"/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BA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</w:p>
    <w:p w:rsidR="005420BA" w:rsidRPr="005420BA" w:rsidRDefault="005420BA" w:rsidP="005420BA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</w:rPr>
      </w:pPr>
      <w:r w:rsidRPr="005420BA">
        <w:t>6.</w:t>
      </w:r>
      <w:r>
        <w:t xml:space="preserve"> </w:t>
      </w:r>
      <w:r w:rsidRPr="005420BA">
        <w:t>Краткая</w:t>
      </w:r>
      <w:r>
        <w:t xml:space="preserve"> </w:t>
      </w:r>
      <w:r w:rsidRPr="005420BA">
        <w:t>философская</w:t>
      </w:r>
      <w:r>
        <w:t xml:space="preserve"> </w:t>
      </w:r>
      <w:r w:rsidRPr="005420BA">
        <w:t>энциклопедия.</w:t>
      </w:r>
      <w:r>
        <w:t xml:space="preserve"> </w:t>
      </w:r>
      <w:r w:rsidRPr="005420BA">
        <w:t>М.,</w:t>
      </w:r>
      <w:r>
        <w:t xml:space="preserve"> </w:t>
      </w:r>
      <w:r w:rsidRPr="005420BA">
        <w:t>1994.</w:t>
      </w:r>
    </w:p>
    <w:p w:rsidR="00A041AA" w:rsidRPr="005420BA" w:rsidRDefault="00A041AA" w:rsidP="005420BA">
      <w:pPr>
        <w:shd w:val="clear" w:color="auto" w:fill="FEFEFE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54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939B1"/>
    <w:multiLevelType w:val="hybridMultilevel"/>
    <w:tmpl w:val="EB8AB4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1563E7"/>
    <w:rsid w:val="00174BB4"/>
    <w:rsid w:val="00274CF6"/>
    <w:rsid w:val="005420BA"/>
    <w:rsid w:val="005B4CDC"/>
    <w:rsid w:val="00A041AA"/>
    <w:rsid w:val="00AE2DA9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2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2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7676</Words>
  <Characters>43756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51330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2020-10-26T23:20:00Z</dcterms:created>
  <dcterms:modified xsi:type="dcterms:W3CDTF">2020-10-26T23:25:00Z</dcterms:modified>
</cp:coreProperties>
</file>